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52"/>
          <w:szCs w:val="52"/>
          <w:lang w:val="zh-TW" w:eastAsia="zh-TW"/>
        </w:rPr>
      </w:pPr>
      <w:r>
        <w:rPr>
          <w:rFonts w:hint="eastAsia" w:ascii="仿宋" w:hAnsi="仿宋" w:eastAsia="仿宋" w:cs="仿宋"/>
          <w:b/>
          <w:bCs/>
          <w:kern w:val="0"/>
          <w:sz w:val="52"/>
          <w:szCs w:val="52"/>
          <w:lang w:val="zh-TW"/>
        </w:rPr>
        <w:t>英吉沙县</w:t>
      </w:r>
      <w:r>
        <w:rPr>
          <w:rFonts w:hint="eastAsia" w:ascii="仿宋" w:hAnsi="仿宋" w:eastAsia="仿宋" w:cs="仿宋"/>
          <w:b/>
          <w:bCs/>
          <w:kern w:val="0"/>
          <w:sz w:val="52"/>
          <w:szCs w:val="52"/>
          <w:lang w:val="zh-TW" w:eastAsia="zh-TW"/>
        </w:rPr>
        <w:t>农民专业合作社建设项目</w:t>
      </w:r>
    </w:p>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52"/>
          <w:szCs w:val="52"/>
          <w:lang w:val="zh-TW" w:eastAsia="zh-TW"/>
        </w:rPr>
      </w:pPr>
      <w:r>
        <w:rPr>
          <w:rFonts w:hint="eastAsia" w:ascii="仿宋" w:hAnsi="仿宋" w:eastAsia="仿宋" w:cs="仿宋"/>
          <w:b/>
          <w:bCs/>
          <w:kern w:val="0"/>
          <w:sz w:val="52"/>
          <w:szCs w:val="52"/>
          <w:lang w:val="zh-TW" w:eastAsia="zh-TW"/>
        </w:rPr>
        <w:t>绩效自评报告</w:t>
      </w:r>
    </w:p>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kern w:val="0"/>
          <w:sz w:val="30"/>
          <w:szCs w:val="30"/>
        </w:rPr>
      </w:pPr>
    </w:p>
    <w:p>
      <w:pPr>
        <w:pStyle w:val="10"/>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sz w:val="32"/>
          <w:szCs w:val="32"/>
        </w:rPr>
      </w:pPr>
      <w:r>
        <w:rPr>
          <w:rStyle w:val="5"/>
          <w:rFonts w:hint="eastAsia" w:ascii="仿宋" w:hAnsi="仿宋" w:eastAsia="仿宋" w:cs="仿宋"/>
          <w:spacing w:val="-4"/>
          <w:sz w:val="32"/>
          <w:szCs w:val="32"/>
        </w:rPr>
        <w:t>（一）项目单位基本情况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县委农办作为项目主管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了77个林果合作社建设任务，制定下发了农民专业合作社运营管理手册，推进了农民专业合作社规范化运行。</w:t>
      </w:r>
    </w:p>
    <w:p>
      <w:pPr>
        <w:keepNext w:val="0"/>
        <w:keepLines w:val="0"/>
        <w:pageBreakBefore w:val="0"/>
        <w:widowControl w:val="0"/>
        <w:kinsoku/>
        <w:wordWrap/>
        <w:overflowPunct/>
        <w:topLinePunct w:val="0"/>
        <w:autoSpaceDE/>
        <w:autoSpaceDN/>
        <w:bidi w:val="0"/>
        <w:spacing w:line="570" w:lineRule="exact"/>
        <w:ind w:left="142"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二、项目落实情况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2018年第二批农民专业合作社建设补助项目资金</w:t>
      </w:r>
      <w:r>
        <w:rPr>
          <w:rFonts w:hint="eastAsia" w:ascii="仿宋" w:hAnsi="仿宋" w:eastAsia="仿宋" w:cs="仿宋"/>
          <w:bCs/>
          <w:sz w:val="32"/>
          <w:szCs w:val="32"/>
          <w:lang w:val="en-US" w:eastAsia="zh-CN"/>
        </w:rPr>
        <w:t>15</w:t>
      </w:r>
      <w:r>
        <w:rPr>
          <w:rFonts w:hint="eastAsia" w:ascii="仿宋" w:hAnsi="仿宋" w:eastAsia="仿宋" w:cs="仿宋"/>
          <w:bCs/>
          <w:sz w:val="32"/>
          <w:szCs w:val="32"/>
        </w:rPr>
        <w:t>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pPr>
        <w:keepNext w:val="0"/>
        <w:keepLines w:val="0"/>
        <w:pageBreakBefore w:val="0"/>
        <w:widowControl w:val="0"/>
        <w:kinsoku/>
        <w:wordWrap/>
        <w:overflowPunct/>
        <w:topLinePunct w:val="0"/>
        <w:autoSpaceDE/>
        <w:autoSpaceDN/>
        <w:bidi w:val="0"/>
        <w:spacing w:line="570" w:lineRule="exact"/>
        <w:ind w:left="142"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三、绩效自评工作开展情况</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（一）前期准备</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按照县财政局关于做好扶贫项目绩效评价的要求，县财政局召集我单位安排部署了绩效评估工作。</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（二）组织过程</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我单位根据相关规定和要求，对项目的实施程序、资金使用计划、管理运行以及账目的规范等情况进行自查自评，并组撰写自评报告上报县财政局。</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（三）分析评价</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r>
        <w:rPr>
          <w:rFonts w:hint="eastAsia" w:ascii="仿宋" w:hAnsi="仿宋" w:eastAsia="仿宋" w:cs="仿宋"/>
          <w:bCs/>
          <w:sz w:val="32"/>
          <w:szCs w:val="32"/>
          <w:lang w:eastAsia="zh-CN"/>
        </w:rPr>
        <w:t>。</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四</w:t>
      </w:r>
      <w:r>
        <w:rPr>
          <w:rFonts w:hint="eastAsia" w:ascii="仿宋" w:hAnsi="仿宋" w:eastAsia="仿宋" w:cs="仿宋"/>
          <w:bCs/>
          <w:sz w:val="32"/>
          <w:szCs w:val="32"/>
        </w:rPr>
        <w:t>、绩效目标实现情况分析</w:t>
      </w:r>
    </w:p>
    <w:p>
      <w:pPr>
        <w:keepNext w:val="0"/>
        <w:keepLines w:val="0"/>
        <w:pageBreakBefore w:val="0"/>
        <w:widowControl w:val="0"/>
        <w:kinsoku/>
        <w:wordWrap/>
        <w:overflowPunct/>
        <w:topLinePunct w:val="0"/>
        <w:autoSpaceDE/>
        <w:autoSpaceDN/>
        <w:bidi w:val="0"/>
        <w:spacing w:line="57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（一）项目资金情况分析</w:t>
      </w:r>
    </w:p>
    <w:p>
      <w:pPr>
        <w:keepNext w:val="0"/>
        <w:keepLines w:val="0"/>
        <w:pageBreakBefore w:val="0"/>
        <w:widowControl w:val="0"/>
        <w:kinsoku/>
        <w:wordWrap/>
        <w:overflowPunct/>
        <w:topLinePunct w:val="0"/>
        <w:autoSpaceDE/>
        <w:autoSpaceDN/>
        <w:bidi w:val="0"/>
        <w:spacing w:line="570" w:lineRule="exact"/>
        <w:ind w:left="105" w:leftChars="5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1.资金到位情况分析。</w:t>
      </w:r>
    </w:p>
    <w:p>
      <w:pPr>
        <w:keepNext w:val="0"/>
        <w:keepLines w:val="0"/>
        <w:pageBreakBefore w:val="0"/>
        <w:widowControl w:val="0"/>
        <w:kinsoku/>
        <w:wordWrap/>
        <w:overflowPunct/>
        <w:topLinePunct w:val="0"/>
        <w:autoSpaceDE/>
        <w:autoSpaceDN/>
        <w:bidi w:val="0"/>
        <w:spacing w:line="570" w:lineRule="exact"/>
        <w:ind w:left="105" w:leftChars="5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项目资金共计</w:t>
      </w:r>
      <w:r>
        <w:rPr>
          <w:rFonts w:hint="eastAsia" w:ascii="仿宋" w:hAnsi="仿宋" w:eastAsia="仿宋" w:cs="仿宋"/>
          <w:bCs/>
          <w:sz w:val="32"/>
          <w:szCs w:val="32"/>
          <w:lang w:val="en-US" w:eastAsia="zh-CN"/>
        </w:rPr>
        <w:t>15</w:t>
      </w:r>
      <w:r>
        <w:rPr>
          <w:rFonts w:hint="eastAsia" w:ascii="仿宋" w:hAnsi="仿宋" w:eastAsia="仿宋" w:cs="仿宋"/>
          <w:bCs/>
          <w:sz w:val="32"/>
          <w:szCs w:val="32"/>
        </w:rPr>
        <w:t>万元，属于县财政涉农整合扶贫资金，现在乡镇账户。</w:t>
      </w:r>
    </w:p>
    <w:p>
      <w:pPr>
        <w:keepNext w:val="0"/>
        <w:keepLines w:val="0"/>
        <w:pageBreakBefore w:val="0"/>
        <w:widowControl w:val="0"/>
        <w:kinsoku/>
        <w:wordWrap/>
        <w:overflowPunct/>
        <w:topLinePunct w:val="0"/>
        <w:autoSpaceDE/>
        <w:autoSpaceDN/>
        <w:bidi w:val="0"/>
        <w:spacing w:line="570" w:lineRule="exact"/>
        <w:ind w:left="105" w:leftChars="5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2.项目资金执行情况分析。</w:t>
      </w:r>
    </w:p>
    <w:p>
      <w:pPr>
        <w:keepNext w:val="0"/>
        <w:keepLines w:val="0"/>
        <w:pageBreakBefore w:val="0"/>
        <w:widowControl w:val="0"/>
        <w:kinsoku/>
        <w:wordWrap/>
        <w:overflowPunct/>
        <w:topLinePunct w:val="0"/>
        <w:autoSpaceDE/>
        <w:autoSpaceDN/>
        <w:bidi w:val="0"/>
        <w:spacing w:line="570" w:lineRule="exact"/>
        <w:ind w:left="105" w:leftChars="5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按照拨款程序，正在督促乡镇办理相关手续，于11月底日将补助资金全部拨付至合作社。</w:t>
      </w:r>
    </w:p>
    <w:p>
      <w:pPr>
        <w:keepNext w:val="0"/>
        <w:keepLines w:val="0"/>
        <w:pageBreakBefore w:val="0"/>
        <w:widowControl w:val="0"/>
        <w:kinsoku/>
        <w:wordWrap/>
        <w:overflowPunct/>
        <w:topLinePunct w:val="0"/>
        <w:autoSpaceDE/>
        <w:autoSpaceDN/>
        <w:bidi w:val="0"/>
        <w:spacing w:line="570" w:lineRule="exact"/>
        <w:ind w:left="105" w:leftChars="50"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3.项目资金管理情况分析。</w:t>
      </w:r>
    </w:p>
    <w:p>
      <w:pPr>
        <w:keepNext w:val="0"/>
        <w:keepLines w:val="0"/>
        <w:pageBreakBefore w:val="0"/>
        <w:widowControl w:val="0"/>
        <w:kinsoku/>
        <w:wordWrap/>
        <w:overflowPunct/>
        <w:topLinePunct w:val="0"/>
        <w:autoSpaceDE/>
        <w:autoSpaceDN/>
        <w:bidi w:val="0"/>
        <w:spacing w:line="570" w:lineRule="exact"/>
        <w:ind w:left="105" w:leftChars="5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项目资金由县财政局实行国库集中支付。</w:t>
      </w:r>
    </w:p>
    <w:p>
      <w:pPr>
        <w:keepNext w:val="0"/>
        <w:keepLines w:val="0"/>
        <w:pageBreakBefore w:val="0"/>
        <w:widowControl w:val="0"/>
        <w:kinsoku/>
        <w:wordWrap/>
        <w:overflowPunct/>
        <w:topLinePunct w:val="0"/>
        <w:autoSpaceDE/>
        <w:autoSpaceDN/>
        <w:bidi w:val="0"/>
        <w:spacing w:line="57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（二）项目绩效指标完成情况分析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本项目共设置一级指标3个，二级指标</w:t>
      </w:r>
      <w:r>
        <w:rPr>
          <w:rFonts w:hint="eastAsia" w:ascii="仿宋" w:hAnsi="仿宋" w:eastAsia="仿宋" w:cs="仿宋"/>
          <w:sz w:val="32"/>
          <w:szCs w:val="32"/>
          <w:lang w:val="en-US" w:eastAsia="zh-CN"/>
        </w:rPr>
        <w:t>9</w:t>
      </w:r>
      <w:r>
        <w:rPr>
          <w:rFonts w:hint="eastAsia" w:ascii="仿宋" w:hAnsi="仿宋" w:eastAsia="仿宋" w:cs="仿宋"/>
          <w:sz w:val="32"/>
          <w:szCs w:val="32"/>
        </w:rPr>
        <w:t>个，三级指标</w:t>
      </w:r>
      <w:r>
        <w:rPr>
          <w:rFonts w:hint="eastAsia" w:ascii="仿宋" w:hAnsi="仿宋" w:eastAsia="仿宋" w:cs="仿宋"/>
          <w:sz w:val="32"/>
          <w:szCs w:val="32"/>
          <w:lang w:val="en-US" w:eastAsia="zh-CN"/>
        </w:rPr>
        <w:t>18</w:t>
      </w:r>
      <w:r>
        <w:rPr>
          <w:rFonts w:hint="eastAsia" w:ascii="仿宋" w:hAnsi="仿宋" w:eastAsia="仿宋" w:cs="仿宋"/>
          <w:sz w:val="32"/>
          <w:szCs w:val="32"/>
        </w:rPr>
        <w:t>个，其中已完成三级指标</w:t>
      </w:r>
      <w:r>
        <w:rPr>
          <w:rFonts w:hint="eastAsia" w:ascii="仿宋" w:hAnsi="仿宋" w:eastAsia="仿宋" w:cs="仿宋"/>
          <w:sz w:val="32"/>
          <w:szCs w:val="32"/>
          <w:lang w:val="en-US" w:eastAsia="zh-CN"/>
        </w:rPr>
        <w:t>18</w:t>
      </w:r>
      <w:r>
        <w:rPr>
          <w:rFonts w:hint="eastAsia" w:ascii="仿宋" w:hAnsi="仿宋" w:eastAsia="仿宋" w:cs="仿宋"/>
          <w:sz w:val="32"/>
          <w:szCs w:val="32"/>
        </w:rPr>
        <w:t>个，指标完成率为</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spacing w:line="570" w:lineRule="exact"/>
        <w:ind w:firstLine="784" w:firstLineChars="244"/>
        <w:jc w:val="left"/>
        <w:textAlignment w:val="auto"/>
        <w:rPr>
          <w:rFonts w:hint="eastAsia" w:ascii="仿宋" w:hAnsi="仿宋" w:eastAsia="仿宋" w:cs="仿宋"/>
          <w:b/>
          <w:sz w:val="32"/>
          <w:szCs w:val="32"/>
        </w:rPr>
      </w:pPr>
      <w:r>
        <w:rPr>
          <w:rFonts w:hint="eastAsia" w:ascii="仿宋" w:hAnsi="仿宋" w:eastAsia="仿宋" w:cs="仿宋"/>
          <w:b/>
          <w:sz w:val="32"/>
          <w:szCs w:val="32"/>
        </w:rPr>
        <w:t>1.产出指标完成情况分析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已完成</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个林果农民专业合作社新建和完善</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个合作社社员</w:t>
      </w:r>
      <w:r>
        <w:rPr>
          <w:rFonts w:hint="eastAsia" w:ascii="仿宋" w:hAnsi="仿宋" w:eastAsia="仿宋" w:cs="仿宋"/>
          <w:bCs/>
          <w:sz w:val="32"/>
          <w:szCs w:val="32"/>
          <w:lang w:val="en-US" w:eastAsia="zh-CN"/>
        </w:rPr>
        <w:t>24</w:t>
      </w:r>
      <w:r>
        <w:rPr>
          <w:rFonts w:hint="eastAsia" w:ascii="仿宋" w:hAnsi="仿宋" w:eastAsia="仿宋" w:cs="仿宋"/>
          <w:bCs/>
          <w:sz w:val="32"/>
          <w:szCs w:val="32"/>
        </w:rPr>
        <w:t>人，其中贫困户社员</w:t>
      </w:r>
      <w:r>
        <w:rPr>
          <w:rFonts w:hint="eastAsia" w:ascii="仿宋" w:hAnsi="仿宋" w:eastAsia="仿宋" w:cs="仿宋"/>
          <w:bCs/>
          <w:sz w:val="32"/>
          <w:szCs w:val="32"/>
          <w:lang w:val="en-US" w:eastAsia="zh-CN"/>
        </w:rPr>
        <w:t>16</w:t>
      </w:r>
      <w:r>
        <w:rPr>
          <w:rFonts w:hint="eastAsia" w:ascii="仿宋" w:hAnsi="仿宋" w:eastAsia="仿宋" w:cs="仿宋"/>
          <w:bCs/>
          <w:sz w:val="32"/>
          <w:szCs w:val="32"/>
        </w:rPr>
        <w:t>人。吸纳就业贫困人员</w:t>
      </w:r>
      <w:r>
        <w:rPr>
          <w:rFonts w:hint="eastAsia" w:ascii="仿宋" w:hAnsi="仿宋" w:eastAsia="仿宋" w:cs="仿宋"/>
          <w:bCs/>
          <w:sz w:val="32"/>
          <w:szCs w:val="32"/>
          <w:lang w:val="en-US" w:eastAsia="zh-CN"/>
        </w:rPr>
        <w:t>16</w:t>
      </w:r>
      <w:r>
        <w:rPr>
          <w:rFonts w:hint="eastAsia" w:ascii="仿宋" w:hAnsi="仿宋" w:eastAsia="仿宋" w:cs="仿宋"/>
          <w:bCs/>
          <w:sz w:val="32"/>
          <w:szCs w:val="32"/>
        </w:rPr>
        <w:t>人。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化程度，解决一家一户小规模经营采购与出售商品规模小、经营效益低的问题，降低农民生产及交易成本，增加了农民收入。今年英吉沙县杏质量明显提升，特别是效益得到了有效突破，普通鲜杏市场价格较往年翻了近４倍，每公斤3-５元左右，手摘鲜杏最高卖到了８－1０元以上。</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 w:hAnsi="仿宋" w:eastAsia="仿宋" w:cs="仿宋"/>
          <w:bCs/>
          <w:sz w:val="32"/>
          <w:szCs w:val="32"/>
          <w:lang w:eastAsia="zh-CN"/>
        </w:rPr>
      </w:pPr>
      <w:r>
        <w:rPr>
          <w:rFonts w:hint="eastAsia" w:ascii="仿宋" w:hAnsi="仿宋" w:eastAsia="仿宋" w:cs="仿宋"/>
          <w:b/>
          <w:sz w:val="32"/>
          <w:szCs w:val="32"/>
          <w:lang w:val="en-US" w:eastAsia="zh-CN"/>
        </w:rPr>
        <w:t>2、</w:t>
      </w:r>
      <w:r>
        <w:rPr>
          <w:rFonts w:hint="eastAsia" w:ascii="仿宋" w:hAnsi="仿宋" w:eastAsia="仿宋" w:cs="仿宋"/>
          <w:b/>
          <w:sz w:val="32"/>
          <w:szCs w:val="32"/>
        </w:rPr>
        <w:t>效益指标完成情况分析</w:t>
      </w:r>
      <w:r>
        <w:rPr>
          <w:rFonts w:hint="eastAsia" w:ascii="仿宋" w:hAnsi="仿宋" w:eastAsia="仿宋" w:cs="仿宋"/>
          <w:bCs/>
          <w:sz w:val="32"/>
          <w:szCs w:val="32"/>
          <w:lang w:eastAsia="zh-CN"/>
        </w:rPr>
        <w:t>：通过政策引导、资金扶持、典型示范等途径，加快贫困村农民专业合作社发展，努力实现农民组织化、生产标准化、经营规模化，全面提升农民专业合作社的组织功能和示范带动作用，为脱贫攻坚奠定坚实的基础。</w:t>
      </w:r>
    </w:p>
    <w:p>
      <w:pPr>
        <w:keepNext w:val="0"/>
        <w:keepLines w:val="0"/>
        <w:pageBreakBefore w:val="0"/>
        <w:widowControl w:val="0"/>
        <w:kinsoku/>
        <w:wordWrap/>
        <w:overflowPunct/>
        <w:topLinePunct w:val="0"/>
        <w:autoSpaceDE/>
        <w:autoSpaceDN/>
        <w:bidi w:val="0"/>
        <w:adjustRightInd w:val="0"/>
        <w:snapToGrid w:val="0"/>
        <w:spacing w:line="570" w:lineRule="exact"/>
        <w:ind w:firstLine="643"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b/>
          <w:sz w:val="32"/>
          <w:szCs w:val="32"/>
          <w:lang w:val="en-US" w:eastAsia="zh-CN"/>
        </w:rPr>
        <w:t>3、满意度指标完成情况分析</w:t>
      </w:r>
      <w:r>
        <w:rPr>
          <w:rFonts w:hint="eastAsia" w:ascii="仿宋" w:hAnsi="仿宋" w:eastAsia="仿宋" w:cs="仿宋"/>
          <w:sz w:val="32"/>
          <w:szCs w:val="32"/>
          <w:lang w:eastAsia="zh-CN"/>
        </w:rPr>
        <w:t>：满意度达到</w:t>
      </w:r>
      <w:r>
        <w:rPr>
          <w:rFonts w:hint="eastAsia" w:ascii="仿宋" w:hAnsi="仿宋" w:eastAsia="仿宋"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lang w:eastAsia="zh-CN"/>
        </w:rPr>
        <w:t>）项目绩效自评及评价结果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b/>
          <w:spacing w:val="-4"/>
          <w:sz w:val="32"/>
          <w:szCs w:val="32"/>
          <w:lang w:eastAsia="zh-CN"/>
        </w:rPr>
      </w:pPr>
      <w:r>
        <w:rPr>
          <w:rFonts w:hint="eastAsia" w:ascii="仿宋" w:hAnsi="仿宋" w:eastAsia="仿宋" w:cs="仿宋"/>
          <w:bCs/>
          <w:sz w:val="32"/>
          <w:szCs w:val="32"/>
        </w:rPr>
        <w:t>第二批农民专业合作社建设补助项目（</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个林果合作社）专项资金</w:t>
      </w:r>
      <w:r>
        <w:rPr>
          <w:rFonts w:hint="eastAsia" w:ascii="仿宋" w:hAnsi="仿宋" w:eastAsia="仿宋" w:cs="仿宋"/>
          <w:bCs/>
          <w:sz w:val="32"/>
          <w:szCs w:val="32"/>
          <w:lang w:val="en-US" w:eastAsia="zh-CN"/>
        </w:rPr>
        <w:t>15</w:t>
      </w:r>
      <w:r>
        <w:rPr>
          <w:rFonts w:hint="eastAsia" w:ascii="仿宋" w:hAnsi="仿宋" w:eastAsia="仿宋" w:cs="仿宋"/>
          <w:bCs/>
          <w:sz w:val="32"/>
          <w:szCs w:val="32"/>
        </w:rPr>
        <w:t>万元，项目评价是：项目安排科学合理、项目管理较规范、项目监管到位、项目完成较好，已完成的项目使用安排质量较高，群众反响较好。</w:t>
      </w: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15万元</w:t>
      </w:r>
      <w:r>
        <w:rPr>
          <w:rFonts w:hint="eastAsia" w:ascii="仿宋" w:hAnsi="仿宋" w:eastAsia="仿宋" w:cs="仿宋"/>
          <w:color w:val="000000"/>
          <w:sz w:val="32"/>
          <w:szCs w:val="32"/>
          <w:lang w:eastAsia="zh-CN" w:bidi="ar"/>
        </w:rPr>
        <w:t>，执行率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50分；效益指标完成较好，得分24分；满意度指标达到90%以上，得分10分；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94</w:t>
      </w:r>
      <w:r>
        <w:rPr>
          <w:rFonts w:hint="eastAsia" w:ascii="仿宋" w:hAnsi="仿宋" w:eastAsia="仿宋" w:cs="仿宋"/>
          <w:color w:val="000000"/>
          <w:sz w:val="32"/>
          <w:szCs w:val="32"/>
          <w:lang w:bidi="ar"/>
        </w:rPr>
        <w:t>分，总体评价为“优”。</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五</w:t>
      </w:r>
      <w:r>
        <w:rPr>
          <w:rFonts w:hint="eastAsia" w:ascii="仿宋" w:hAnsi="仿宋" w:eastAsia="仿宋" w:cs="仿宋"/>
          <w:bCs/>
          <w:sz w:val="32"/>
          <w:szCs w:val="32"/>
        </w:rPr>
        <w:t>、存在问题</w:t>
      </w:r>
      <w:r>
        <w:rPr>
          <w:rFonts w:hint="eastAsia" w:ascii="仿宋" w:hAnsi="仿宋" w:eastAsia="仿宋" w:cs="仿宋"/>
          <w:bCs/>
          <w:sz w:val="32"/>
          <w:szCs w:val="32"/>
          <w:lang w:eastAsia="zh-CN"/>
        </w:rPr>
        <w:t>及建议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（一）存在的问题</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部分乡</w:t>
      </w:r>
      <w:r>
        <w:rPr>
          <w:rFonts w:hint="eastAsia" w:ascii="仿宋" w:hAnsi="仿宋" w:eastAsia="仿宋" w:cs="仿宋"/>
          <w:bCs/>
          <w:sz w:val="32"/>
          <w:szCs w:val="32"/>
          <w:lang w:eastAsia="zh-CN"/>
        </w:rPr>
        <w:t>镇</w:t>
      </w:r>
      <w:r>
        <w:rPr>
          <w:rFonts w:hint="eastAsia" w:ascii="仿宋" w:hAnsi="仿宋" w:eastAsia="仿宋" w:cs="仿宋"/>
          <w:bCs/>
          <w:sz w:val="32"/>
          <w:szCs w:val="32"/>
        </w:rPr>
        <w:t>重视不够，只安排，没有人抓落实，合作社开展工作不平衡。针对这一问题，农办加强调度和培训，三夏期间农业生产调度会每天对合作社建设情况进行汇报、部署，确保合作社建设快速推进。</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spacing w:val="-6"/>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2018年林果合作社建设数量虽多，新建</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个，但管理运行不太规范，带动能力强的数量少，达到标准享受补助资金的合作社只有</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个。针对这一问题，编制了农民专业合作社运营台账，指导合作社规范管理、运行，做到账目有据可循、公开透明。同时，根据年初的合作社建设奖补办法，明确标准，按照合作社运行情况</w:t>
      </w:r>
      <w:r>
        <w:rPr>
          <w:rFonts w:hint="eastAsia" w:ascii="仿宋" w:hAnsi="仿宋" w:eastAsia="仿宋" w:cs="仿宋"/>
          <w:spacing w:val="-6"/>
          <w:sz w:val="32"/>
          <w:szCs w:val="32"/>
        </w:rPr>
        <w:t>制定了林果奖补方案（3-5万元），督促、激励合作社发挥作用。</w:t>
      </w:r>
    </w:p>
    <w:p>
      <w:pPr>
        <w:keepNext w:val="0"/>
        <w:keepLines w:val="0"/>
        <w:pageBreakBefore w:val="0"/>
        <w:widowControl w:val="0"/>
        <w:kinsoku/>
        <w:wordWrap/>
        <w:overflowPunct/>
        <w:topLinePunct w:val="0"/>
        <w:autoSpaceDE/>
        <w:autoSpaceDN/>
        <w:bidi w:val="0"/>
        <w:spacing w:line="570" w:lineRule="exact"/>
        <w:ind w:firstLine="616" w:firstLineChars="200"/>
        <w:textAlignment w:val="auto"/>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bCs/>
          <w:sz w:val="32"/>
          <w:szCs w:val="32"/>
          <w:lang w:eastAsia="zh-CN"/>
        </w:rPr>
        <w:t>二）意见建议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加强管理，指导合作社建立台账、定期公示、分红，完善运行机制，规范运行，确保项目资金效益分配合理、助农增收。</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 w:hAnsi="仿宋" w:eastAsia="仿宋" w:cs="仿宋"/>
          <w:bCs/>
          <w:spacing w:val="-4"/>
          <w:sz w:val="32"/>
          <w:szCs w:val="32"/>
        </w:rPr>
      </w:pPr>
      <w:r>
        <w:rPr>
          <w:rStyle w:val="5"/>
          <w:rFonts w:hint="eastAsia" w:ascii="仿宋" w:hAnsi="仿宋" w:eastAsia="仿宋" w:cs="仿宋"/>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 w:hAnsi="仿宋" w:eastAsia="仿宋" w:cs="仿宋"/>
          <w:spacing w:val="-4"/>
          <w:sz w:val="32"/>
          <w:szCs w:val="32"/>
        </w:rPr>
      </w:pPr>
      <w:r>
        <w:rPr>
          <w:rFonts w:hint="eastAsia" w:ascii="仿宋" w:hAnsi="仿宋" w:eastAsia="仿宋" w:cs="仿宋"/>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《项目支出绩效目标自评表》</w:t>
      </w:r>
    </w:p>
    <w:p>
      <w:pPr>
        <w:keepNext w:val="0"/>
        <w:keepLines w:val="0"/>
        <w:pageBreakBefore w:val="0"/>
        <w:widowControl w:val="0"/>
        <w:kinsoku/>
        <w:wordWrap/>
        <w:overflowPunct/>
        <w:topLinePunct w:val="0"/>
        <w:autoSpaceDE/>
        <w:autoSpaceDN/>
        <w:bidi w:val="0"/>
        <w:spacing w:line="570" w:lineRule="exact"/>
        <w:ind w:firstLine="640"/>
        <w:textAlignment w:val="auto"/>
        <w:rPr>
          <w:rFonts w:hint="eastAsia" w:ascii="仿宋" w:hAnsi="仿宋" w:eastAsia="仿宋" w:cs="仿宋"/>
          <w:spacing w:val="-6"/>
          <w:sz w:val="32"/>
          <w:szCs w:val="32"/>
        </w:rPr>
      </w:pPr>
      <w:bookmarkStart w:id="0" w:name="_GoBack"/>
      <w:bookmarkEnd w:id="0"/>
    </w:p>
    <w:p>
      <w:pPr>
        <w:keepNext w:val="0"/>
        <w:keepLines w:val="0"/>
        <w:pageBreakBefore w:val="0"/>
        <w:widowControl w:val="0"/>
        <w:kinsoku/>
        <w:wordWrap/>
        <w:overflowPunct/>
        <w:topLinePunct w:val="0"/>
        <w:autoSpaceDE/>
        <w:autoSpaceDN/>
        <w:bidi w:val="0"/>
        <w:spacing w:line="570" w:lineRule="exact"/>
        <w:textAlignment w:val="auto"/>
        <w:rPr>
          <w:rFonts w:hint="eastAsia" w:ascii="仿宋" w:hAnsi="仿宋" w:eastAsia="仿宋" w:cs="仿宋"/>
          <w:spacing w:val="-6"/>
          <w:sz w:val="32"/>
          <w:szCs w:val="32"/>
        </w:rPr>
      </w:pPr>
    </w:p>
    <w:p>
      <w:pPr>
        <w:keepNext w:val="0"/>
        <w:keepLines w:val="0"/>
        <w:pageBreakBefore w:val="0"/>
        <w:widowControl w:val="0"/>
        <w:kinsoku/>
        <w:wordWrap/>
        <w:overflowPunct/>
        <w:topLinePunct w:val="0"/>
        <w:autoSpaceDE/>
        <w:autoSpaceDN/>
        <w:bidi w:val="0"/>
        <w:spacing w:line="570" w:lineRule="exact"/>
        <w:ind w:firstLine="640"/>
        <w:textAlignment w:val="auto"/>
        <w:rPr>
          <w:rFonts w:hint="eastAsia" w:ascii="仿宋" w:hAnsi="仿宋" w:eastAsia="仿宋" w:cs="仿宋"/>
          <w:spacing w:val="-6"/>
          <w:sz w:val="32"/>
          <w:szCs w:val="32"/>
        </w:rPr>
      </w:pPr>
    </w:p>
    <w:p>
      <w:pPr>
        <w:keepNext w:val="0"/>
        <w:keepLines w:val="0"/>
        <w:pageBreakBefore w:val="0"/>
        <w:widowControl w:val="0"/>
        <w:kinsoku/>
        <w:wordWrap/>
        <w:overflowPunct/>
        <w:topLinePunct w:val="0"/>
        <w:autoSpaceDE/>
        <w:autoSpaceDN/>
        <w:bidi w:val="0"/>
        <w:spacing w:line="570" w:lineRule="exact"/>
        <w:ind w:firstLine="640" w:firstLineChars="200"/>
        <w:jc w:val="right"/>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英吉沙县乔勒潘乡人民政府</w:t>
      </w:r>
    </w:p>
    <w:p>
      <w:pPr>
        <w:keepNext w:val="0"/>
        <w:keepLines w:val="0"/>
        <w:pageBreakBefore w:val="0"/>
        <w:widowControl w:val="0"/>
        <w:kinsoku/>
        <w:wordWrap/>
        <w:overflowPunct/>
        <w:topLinePunct w:val="0"/>
        <w:autoSpaceDE/>
        <w:autoSpaceDN/>
        <w:bidi w:val="0"/>
        <w:spacing w:line="570" w:lineRule="exact"/>
        <w:ind w:firstLine="640" w:firstLineChars="200"/>
        <w:jc w:val="center"/>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201</w:t>
      </w:r>
      <w:r>
        <w:rPr>
          <w:rFonts w:hint="eastAsia" w:ascii="仿宋" w:hAnsi="仿宋" w:eastAsia="仿宋" w:cs="仿宋"/>
          <w:bCs/>
          <w:sz w:val="32"/>
          <w:szCs w:val="32"/>
          <w:lang w:val="en-US" w:eastAsia="zh-CN"/>
        </w:rPr>
        <w:t>9</w:t>
      </w:r>
      <w:r>
        <w:rPr>
          <w:rFonts w:hint="eastAsia" w:ascii="仿宋" w:hAnsi="仿宋" w:eastAsia="仿宋" w:cs="仿宋"/>
          <w:bCs/>
          <w:sz w:val="32"/>
          <w:szCs w:val="32"/>
        </w:rPr>
        <w:t>年1月</w:t>
      </w:r>
      <w:r>
        <w:rPr>
          <w:rFonts w:hint="eastAsia" w:ascii="仿宋" w:hAnsi="仿宋" w:eastAsia="仿宋" w:cs="仿宋"/>
          <w:bCs/>
          <w:sz w:val="32"/>
          <w:szCs w:val="32"/>
          <w:lang w:val="en-US" w:eastAsia="zh-CN"/>
        </w:rPr>
        <w:t>2</w:t>
      </w:r>
      <w:r>
        <w:rPr>
          <w:rFonts w:hint="eastAsia" w:ascii="仿宋" w:hAnsi="仿宋" w:eastAsia="仿宋" w:cs="仿宋"/>
          <w:bCs/>
          <w:sz w:val="32"/>
          <w:szCs w:val="32"/>
        </w:rPr>
        <w:t>日</w:t>
      </w:r>
    </w:p>
    <w:sectPr>
      <w:footerReference r:id="rId3" w:type="default"/>
      <w:pgSz w:w="11906" w:h="16838"/>
      <w:pgMar w:top="2098" w:right="1531" w:bottom="198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081992"/>
    <w:rsid w:val="00190EBA"/>
    <w:rsid w:val="00254628"/>
    <w:rsid w:val="002D69B4"/>
    <w:rsid w:val="007665C6"/>
    <w:rsid w:val="007915B1"/>
    <w:rsid w:val="008A06C5"/>
    <w:rsid w:val="0094396E"/>
    <w:rsid w:val="00957707"/>
    <w:rsid w:val="00AF2C15"/>
    <w:rsid w:val="00BA684A"/>
    <w:rsid w:val="00C377A8"/>
    <w:rsid w:val="00C54ECD"/>
    <w:rsid w:val="00E61FF8"/>
    <w:rsid w:val="00F70BA7"/>
    <w:rsid w:val="00FF1E89"/>
    <w:rsid w:val="039307EA"/>
    <w:rsid w:val="05C914A4"/>
    <w:rsid w:val="06251B58"/>
    <w:rsid w:val="08E60BD6"/>
    <w:rsid w:val="094472E2"/>
    <w:rsid w:val="09B01300"/>
    <w:rsid w:val="0E686AC2"/>
    <w:rsid w:val="11057A8F"/>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0"/>
    <w:rPr>
      <w:rFonts w:asciiTheme="minorHAnsi" w:hAnsiTheme="minorHAnsi" w:eastAsiaTheme="minorEastAsia" w:cstheme="minorBidi"/>
      <w:kern w:val="2"/>
      <w:sz w:val="18"/>
      <w:szCs w:val="18"/>
    </w:rPr>
  </w:style>
  <w:style w:type="character" w:customStyle="1" w:styleId="8">
    <w:name w:val="页脚 字符"/>
    <w:basedOn w:val="4"/>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322</Words>
  <Characters>1840</Characters>
  <Lines>15</Lines>
  <Paragraphs>4</Paragraphs>
  <TotalTime>6</TotalTime>
  <ScaleCrop>false</ScaleCrop>
  <LinksUpToDate>false</LinksUpToDate>
  <CharactersWithSpaces>2158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2019-04-11T06:19:00Z</cp:lastPrinted>
  <dcterms:modified xsi:type="dcterms:W3CDTF">2019-08-23T05:08:35Z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